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5B5E" w14:textId="77777777" w:rsidR="005C1BC4" w:rsidRDefault="005C1BC4"/>
    <w:p w14:paraId="6C5FDC4B" w14:textId="77777777" w:rsidR="004169EE" w:rsidRDefault="00D50E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30D058" wp14:editId="6EB59B61">
                <wp:simplePos x="0" y="0"/>
                <wp:positionH relativeFrom="column">
                  <wp:posOffset>2047875</wp:posOffset>
                </wp:positionH>
                <wp:positionV relativeFrom="paragraph">
                  <wp:posOffset>191135</wp:posOffset>
                </wp:positionV>
                <wp:extent cx="4619625" cy="752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6AD58" w14:textId="77777777" w:rsidR="00D50E6A" w:rsidRDefault="004169EE" w:rsidP="00D50E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69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South Yorkshire Talking Together- </w:t>
                            </w:r>
                          </w:p>
                          <w:p w14:paraId="7AC4DB3D" w14:textId="77777777" w:rsidR="004169EE" w:rsidRPr="004169EE" w:rsidRDefault="004169EE" w:rsidP="00D50E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69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SLC Assessment Tool </w:t>
                            </w:r>
                            <w:r w:rsidR="00D50E6A">
                              <w:rPr>
                                <w:b/>
                                <w:sz w:val="28"/>
                                <w:szCs w:val="28"/>
                              </w:rPr>
                              <w:t>for Early Years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1.25pt;margin-top:15.05pt;width:363.75pt;height:5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" filled="f" stroked="f" strokeweight=".5pt">
                <v:textbox>
                  <w:txbxContent>
                    <w:p w:rsidR="00D50E6A" w:rsidRDefault="004169EE" w:rsidP="00D50E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169EE">
                        <w:rPr>
                          <w:b/>
                          <w:sz w:val="28"/>
                          <w:szCs w:val="28"/>
                        </w:rPr>
                        <w:t xml:space="preserve">South Yorkshire Talking Together- </w:t>
                      </w:r>
                    </w:p>
                    <w:p w:rsidR="004169EE" w:rsidRPr="004169EE" w:rsidRDefault="004169EE" w:rsidP="00D50E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169EE">
                        <w:rPr>
                          <w:b/>
                          <w:sz w:val="28"/>
                          <w:szCs w:val="28"/>
                        </w:rPr>
                        <w:t xml:space="preserve">SLC Assessment Tool </w:t>
                      </w:r>
                      <w:r w:rsidR="00D50E6A">
                        <w:rPr>
                          <w:b/>
                          <w:sz w:val="28"/>
                          <w:szCs w:val="28"/>
                        </w:rPr>
                        <w:t>for Early Years Providers</w:t>
                      </w:r>
                    </w:p>
                  </w:txbxContent>
                </v:textbox>
              </v:shape>
            </w:pict>
          </mc:Fallback>
        </mc:AlternateContent>
      </w:r>
    </w:p>
    <w:p w14:paraId="34931D76" w14:textId="77777777" w:rsidR="004169EE" w:rsidRDefault="004169EE"/>
    <w:p w14:paraId="0ADE0738" w14:textId="77777777" w:rsidR="002827BE" w:rsidRDefault="002827BE"/>
    <w:p w14:paraId="02C7B089" w14:textId="77777777" w:rsidR="00D50E6A" w:rsidRDefault="00D50E6A"/>
    <w:p w14:paraId="41CC2C4B" w14:textId="77777777" w:rsidR="00007471" w:rsidRDefault="002827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16C928" wp14:editId="2D2FD32E">
                <wp:simplePos x="0" y="0"/>
                <wp:positionH relativeFrom="column">
                  <wp:posOffset>-161925</wp:posOffset>
                </wp:positionH>
                <wp:positionV relativeFrom="paragraph">
                  <wp:posOffset>78740</wp:posOffset>
                </wp:positionV>
                <wp:extent cx="9039225" cy="9239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92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6AD85" w14:textId="77777777" w:rsidR="002827BE" w:rsidRPr="002827BE" w:rsidRDefault="00007471">
                            <w:pPr>
                              <w:rPr>
                                <w:b/>
                                <w:i/>
                              </w:rPr>
                            </w:pPr>
                            <w:r w:rsidRPr="002827BE">
                              <w:rPr>
                                <w:b/>
                                <w:i/>
                              </w:rPr>
                              <w:t xml:space="preserve">This assessment tool has been designed to </w:t>
                            </w:r>
                            <w:r w:rsidR="002827BE" w:rsidRPr="002827BE">
                              <w:rPr>
                                <w:b/>
                                <w:i/>
                              </w:rPr>
                              <w:t>help you provide</w:t>
                            </w:r>
                            <w:r w:rsidRPr="002827BE">
                              <w:rPr>
                                <w:b/>
                                <w:i/>
                              </w:rPr>
                              <w:t xml:space="preserve"> support for</w:t>
                            </w:r>
                            <w:r w:rsidR="00AF040B">
                              <w:rPr>
                                <w:b/>
                                <w:i/>
                              </w:rPr>
                              <w:t xml:space="preserve"> any children identified with a</w:t>
                            </w:r>
                            <w:r w:rsidRPr="002827BE">
                              <w:rPr>
                                <w:b/>
                                <w:i/>
                              </w:rPr>
                              <w:t xml:space="preserve"> S</w:t>
                            </w:r>
                            <w:r w:rsidR="00AF040B">
                              <w:rPr>
                                <w:b/>
                                <w:i/>
                              </w:rPr>
                              <w:t xml:space="preserve">peech, </w:t>
                            </w:r>
                            <w:r w:rsidRPr="002827BE">
                              <w:rPr>
                                <w:b/>
                                <w:i/>
                              </w:rPr>
                              <w:t>L</w:t>
                            </w:r>
                            <w:r w:rsidR="00AF040B">
                              <w:rPr>
                                <w:b/>
                                <w:i/>
                              </w:rPr>
                              <w:t xml:space="preserve">anguage and </w:t>
                            </w:r>
                            <w:r w:rsidRPr="002827BE">
                              <w:rPr>
                                <w:b/>
                                <w:i/>
                              </w:rPr>
                              <w:t>C</w:t>
                            </w:r>
                            <w:r w:rsidR="00AF040B">
                              <w:rPr>
                                <w:b/>
                                <w:i/>
                              </w:rPr>
                              <w:t>ommunication</w:t>
                            </w:r>
                            <w:r w:rsidRPr="002827BE">
                              <w:rPr>
                                <w:b/>
                                <w:i/>
                              </w:rPr>
                              <w:t xml:space="preserve"> need. </w:t>
                            </w:r>
                            <w:r w:rsidR="002827BE" w:rsidRPr="002827BE">
                              <w:rPr>
                                <w:b/>
                                <w:i/>
                              </w:rPr>
                              <w:t>It</w:t>
                            </w:r>
                            <w:r w:rsidR="002827BE">
                              <w:rPr>
                                <w:b/>
                                <w:i/>
                              </w:rPr>
                              <w:t>’</w:t>
                            </w:r>
                            <w:r w:rsidR="002827BE" w:rsidRPr="002827BE">
                              <w:rPr>
                                <w:b/>
                                <w:i/>
                              </w:rPr>
                              <w:t>s</w:t>
                            </w:r>
                            <w:r w:rsidRPr="002827BE">
                              <w:rPr>
                                <w:b/>
                                <w:i/>
                              </w:rPr>
                              <w:t xml:space="preserve"> purpose is for you to conduct a reflective audit of the support you have already put in place and to enable you to identify any further support that you can provid</w:t>
                            </w:r>
                            <w:r w:rsidR="002827BE" w:rsidRPr="002827BE">
                              <w:rPr>
                                <w:b/>
                                <w:i/>
                              </w:rPr>
                              <w:t>e. Your assessment</w:t>
                            </w:r>
                            <w:r w:rsidRPr="002827BE">
                              <w:rPr>
                                <w:b/>
                                <w:i/>
                              </w:rPr>
                              <w:t xml:space="preserve"> can be used to support your referral to S</w:t>
                            </w:r>
                            <w:r w:rsidR="00AF040B">
                              <w:rPr>
                                <w:b/>
                                <w:i/>
                              </w:rPr>
                              <w:t xml:space="preserve">peech </w:t>
                            </w:r>
                            <w:r w:rsidRPr="002827BE">
                              <w:rPr>
                                <w:b/>
                                <w:i/>
                              </w:rPr>
                              <w:t>L</w:t>
                            </w:r>
                            <w:r w:rsidR="00AF040B">
                              <w:rPr>
                                <w:b/>
                                <w:i/>
                              </w:rPr>
                              <w:t xml:space="preserve">anguage </w:t>
                            </w:r>
                            <w:r w:rsidRPr="002827BE">
                              <w:rPr>
                                <w:b/>
                                <w:i/>
                              </w:rPr>
                              <w:t>T</w:t>
                            </w:r>
                            <w:r w:rsidR="00AF040B">
                              <w:rPr>
                                <w:b/>
                                <w:i/>
                              </w:rPr>
                              <w:t>herapy</w:t>
                            </w:r>
                            <w:r w:rsidRPr="002827BE">
                              <w:rPr>
                                <w:b/>
                                <w:i/>
                              </w:rPr>
                              <w:t xml:space="preserve"> if required and provide them with a comprehensive overview of th</w:t>
                            </w:r>
                            <w:r w:rsidR="002827BE">
                              <w:rPr>
                                <w:b/>
                                <w:i/>
                              </w:rPr>
                              <w:t>e support the child has received</w:t>
                            </w:r>
                            <w:r w:rsidRPr="002827BE">
                              <w:rPr>
                                <w:b/>
                                <w:i/>
                              </w:rPr>
                              <w:t xml:space="preserve">. </w:t>
                            </w:r>
                          </w:p>
                          <w:p w14:paraId="64BB9D1B" w14:textId="77777777" w:rsidR="002827BE" w:rsidRPr="002827BE" w:rsidRDefault="002827BE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827B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N:B</w:t>
                            </w:r>
                            <w:proofErr w:type="gramEnd"/>
                            <w:r w:rsidRPr="002827B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//This is a supportive tool- not mandatory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2.75pt;margin-top:6.2pt;width:711.75pt;height:72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" filled="f" stroked="f" strokeweight=".5pt">
                <v:textbox>
                  <w:txbxContent>
                    <w:p w:rsidR="002827BE" w:rsidRPr="002827BE" w:rsidRDefault="00007471">
                      <w:pPr>
                        <w:rPr>
                          <w:b/>
                          <w:i/>
                        </w:rPr>
                      </w:pPr>
                      <w:r w:rsidRPr="002827BE">
                        <w:rPr>
                          <w:b/>
                          <w:i/>
                        </w:rPr>
                        <w:t xml:space="preserve">This assessment tool </w:t>
                      </w:r>
                      <w:proofErr w:type="gramStart"/>
                      <w:r w:rsidRPr="002827BE">
                        <w:rPr>
                          <w:b/>
                          <w:i/>
                        </w:rPr>
                        <w:t>has been designed</w:t>
                      </w:r>
                      <w:proofErr w:type="gramEnd"/>
                      <w:r w:rsidRPr="002827BE">
                        <w:rPr>
                          <w:b/>
                          <w:i/>
                        </w:rPr>
                        <w:t xml:space="preserve"> to </w:t>
                      </w:r>
                      <w:r w:rsidR="002827BE" w:rsidRPr="002827BE">
                        <w:rPr>
                          <w:b/>
                          <w:i/>
                        </w:rPr>
                        <w:t>help you provide</w:t>
                      </w:r>
                      <w:r w:rsidRPr="002827BE">
                        <w:rPr>
                          <w:b/>
                          <w:i/>
                        </w:rPr>
                        <w:t xml:space="preserve"> support for</w:t>
                      </w:r>
                      <w:r w:rsidR="00AF040B">
                        <w:rPr>
                          <w:b/>
                          <w:i/>
                        </w:rPr>
                        <w:t xml:space="preserve"> any children identified with a</w:t>
                      </w:r>
                      <w:r w:rsidRPr="002827BE">
                        <w:rPr>
                          <w:b/>
                          <w:i/>
                        </w:rPr>
                        <w:t xml:space="preserve"> S</w:t>
                      </w:r>
                      <w:r w:rsidR="00AF040B">
                        <w:rPr>
                          <w:b/>
                          <w:i/>
                        </w:rPr>
                        <w:t xml:space="preserve">peech, </w:t>
                      </w:r>
                      <w:r w:rsidRPr="002827BE">
                        <w:rPr>
                          <w:b/>
                          <w:i/>
                        </w:rPr>
                        <w:t>L</w:t>
                      </w:r>
                      <w:r w:rsidR="00AF040B">
                        <w:rPr>
                          <w:b/>
                          <w:i/>
                        </w:rPr>
                        <w:t xml:space="preserve">anguage and </w:t>
                      </w:r>
                      <w:r w:rsidRPr="002827BE">
                        <w:rPr>
                          <w:b/>
                          <w:i/>
                        </w:rPr>
                        <w:t>C</w:t>
                      </w:r>
                      <w:r w:rsidR="00AF040B">
                        <w:rPr>
                          <w:b/>
                          <w:i/>
                        </w:rPr>
                        <w:t>ommunication</w:t>
                      </w:r>
                      <w:r w:rsidRPr="002827BE">
                        <w:rPr>
                          <w:b/>
                          <w:i/>
                        </w:rPr>
                        <w:t xml:space="preserve"> need. </w:t>
                      </w:r>
                      <w:r w:rsidR="002827BE" w:rsidRPr="002827BE">
                        <w:rPr>
                          <w:b/>
                          <w:i/>
                        </w:rPr>
                        <w:t>It</w:t>
                      </w:r>
                      <w:r w:rsidR="002827BE">
                        <w:rPr>
                          <w:b/>
                          <w:i/>
                        </w:rPr>
                        <w:t>’</w:t>
                      </w:r>
                      <w:r w:rsidR="002827BE" w:rsidRPr="002827BE">
                        <w:rPr>
                          <w:b/>
                          <w:i/>
                        </w:rPr>
                        <w:t>s</w:t>
                      </w:r>
                      <w:r w:rsidRPr="002827BE">
                        <w:rPr>
                          <w:b/>
                          <w:i/>
                        </w:rPr>
                        <w:t xml:space="preserve"> purpose is for you to conduct a reflective audit of the support you have already put in place and to enable you to identify any further support that you can provid</w:t>
                      </w:r>
                      <w:r w:rsidR="002827BE" w:rsidRPr="002827BE">
                        <w:rPr>
                          <w:b/>
                          <w:i/>
                        </w:rPr>
                        <w:t>e. Your assessment</w:t>
                      </w:r>
                      <w:r w:rsidRPr="002827BE"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 w:rsidRPr="002827BE">
                        <w:rPr>
                          <w:b/>
                          <w:i/>
                        </w:rPr>
                        <w:t>can be used</w:t>
                      </w:r>
                      <w:proofErr w:type="gramEnd"/>
                      <w:r w:rsidRPr="002827BE">
                        <w:rPr>
                          <w:b/>
                          <w:i/>
                        </w:rPr>
                        <w:t xml:space="preserve"> to support your referral to S</w:t>
                      </w:r>
                      <w:r w:rsidR="00AF040B">
                        <w:rPr>
                          <w:b/>
                          <w:i/>
                        </w:rPr>
                        <w:t xml:space="preserve">peech </w:t>
                      </w:r>
                      <w:r w:rsidRPr="002827BE">
                        <w:rPr>
                          <w:b/>
                          <w:i/>
                        </w:rPr>
                        <w:t>L</w:t>
                      </w:r>
                      <w:r w:rsidR="00AF040B">
                        <w:rPr>
                          <w:b/>
                          <w:i/>
                        </w:rPr>
                        <w:t xml:space="preserve">anguage </w:t>
                      </w:r>
                      <w:r w:rsidRPr="002827BE">
                        <w:rPr>
                          <w:b/>
                          <w:i/>
                        </w:rPr>
                        <w:t>T</w:t>
                      </w:r>
                      <w:r w:rsidR="00AF040B">
                        <w:rPr>
                          <w:b/>
                          <w:i/>
                        </w:rPr>
                        <w:t>herapy</w:t>
                      </w:r>
                      <w:r w:rsidRPr="002827BE">
                        <w:rPr>
                          <w:b/>
                          <w:i/>
                        </w:rPr>
                        <w:t xml:space="preserve"> if required and provide them with a comprehensive overview of th</w:t>
                      </w:r>
                      <w:r w:rsidR="002827BE">
                        <w:rPr>
                          <w:b/>
                          <w:i/>
                        </w:rPr>
                        <w:t>e support the child has received</w:t>
                      </w:r>
                      <w:r w:rsidRPr="002827BE">
                        <w:rPr>
                          <w:b/>
                          <w:i/>
                        </w:rPr>
                        <w:t xml:space="preserve">. </w:t>
                      </w:r>
                    </w:p>
                    <w:p w:rsidR="002827BE" w:rsidRPr="002827BE" w:rsidRDefault="002827BE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2827BE">
                        <w:rPr>
                          <w:b/>
                          <w:i/>
                          <w:sz w:val="16"/>
                          <w:szCs w:val="16"/>
                        </w:rPr>
                        <w:t>N</w:t>
                      </w:r>
                      <w:proofErr w:type="gramStart"/>
                      <w:r w:rsidRPr="002827BE">
                        <w:rPr>
                          <w:b/>
                          <w:i/>
                          <w:sz w:val="16"/>
                          <w:szCs w:val="16"/>
                        </w:rPr>
                        <w:t>:B</w:t>
                      </w:r>
                      <w:proofErr w:type="gramEnd"/>
                      <w:r w:rsidRPr="002827BE">
                        <w:rPr>
                          <w:b/>
                          <w:i/>
                          <w:sz w:val="16"/>
                          <w:szCs w:val="16"/>
                        </w:rPr>
                        <w:t>//This is a supportive tool- not mandatory</w:t>
                      </w:r>
                    </w:p>
                  </w:txbxContent>
                </v:textbox>
              </v:shape>
            </w:pict>
          </mc:Fallback>
        </mc:AlternateContent>
      </w:r>
    </w:p>
    <w:p w14:paraId="50CC1FC0" w14:textId="77777777" w:rsidR="00007471" w:rsidRDefault="00007471"/>
    <w:p w14:paraId="41EAE5D0" w14:textId="77777777" w:rsidR="00D50E6A" w:rsidRDefault="00D50E6A"/>
    <w:p w14:paraId="6B7F26F7" w14:textId="77777777" w:rsidR="002827BE" w:rsidRDefault="002827BE"/>
    <w:p w14:paraId="0806B9BC" w14:textId="77777777" w:rsidR="002827BE" w:rsidRDefault="002827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6"/>
        <w:gridCol w:w="567"/>
        <w:gridCol w:w="4785"/>
      </w:tblGrid>
      <w:tr w:rsidR="00AF040B" w14:paraId="2CCD1FA3" w14:textId="77777777" w:rsidTr="00AF040B">
        <w:trPr>
          <w:trHeight w:val="416"/>
        </w:trPr>
        <w:tc>
          <w:tcPr>
            <w:tcW w:w="9163" w:type="dxa"/>
            <w:gridSpan w:val="2"/>
          </w:tcPr>
          <w:p w14:paraId="05101946" w14:textId="77777777" w:rsidR="00AF040B" w:rsidRPr="004169EE" w:rsidRDefault="00AF040B" w:rsidP="00D22EBE">
            <w:pPr>
              <w:pStyle w:val="Heading1"/>
            </w:pPr>
            <w:r w:rsidRPr="00E61D17">
              <w:t xml:space="preserve">General </w:t>
            </w:r>
          </w:p>
          <w:p w14:paraId="55A639D7" w14:textId="77777777" w:rsidR="00AF040B" w:rsidRDefault="00AF040B" w:rsidP="003053BC"/>
        </w:tc>
        <w:tc>
          <w:tcPr>
            <w:tcW w:w="4785" w:type="dxa"/>
          </w:tcPr>
          <w:p w14:paraId="6505DBC6" w14:textId="77777777" w:rsidR="00AF040B" w:rsidRDefault="00AF040B" w:rsidP="003053BC">
            <w:r>
              <w:t>Notes/Further Actions</w:t>
            </w:r>
          </w:p>
        </w:tc>
      </w:tr>
      <w:tr w:rsidR="00AF040B" w14:paraId="174AC0D2" w14:textId="77777777" w:rsidTr="008C0E26">
        <w:trPr>
          <w:trHeight w:val="405"/>
        </w:trPr>
        <w:tc>
          <w:tcPr>
            <w:tcW w:w="8596" w:type="dxa"/>
          </w:tcPr>
          <w:p w14:paraId="5443687C" w14:textId="77777777" w:rsidR="00AF040B" w:rsidRDefault="00AF040B" w:rsidP="003053BC">
            <w:r>
              <w:t>Do you have a language champion in your setting?</w:t>
            </w:r>
          </w:p>
          <w:p w14:paraId="390C46B2" w14:textId="77777777" w:rsidR="00AF040B" w:rsidRPr="00E61D17" w:rsidRDefault="00AF040B" w:rsidP="003053BC">
            <w:pPr>
              <w:rPr>
                <w:b/>
              </w:rPr>
            </w:pPr>
          </w:p>
        </w:tc>
        <w:tc>
          <w:tcPr>
            <w:tcW w:w="567" w:type="dxa"/>
          </w:tcPr>
          <w:p w14:paraId="2700F8DA" w14:textId="77777777" w:rsidR="00AF040B" w:rsidRDefault="00AF040B" w:rsidP="003053BC">
            <w:r>
              <w:t>Y/N</w:t>
            </w:r>
          </w:p>
        </w:tc>
        <w:tc>
          <w:tcPr>
            <w:tcW w:w="4785" w:type="dxa"/>
            <w:vMerge w:val="restart"/>
          </w:tcPr>
          <w:p w14:paraId="6B578308" w14:textId="77777777" w:rsidR="00AF040B" w:rsidRDefault="00AF040B" w:rsidP="003053BC"/>
        </w:tc>
      </w:tr>
      <w:tr w:rsidR="00AF040B" w14:paraId="4A260FE6" w14:textId="77777777" w:rsidTr="008C0E26">
        <w:trPr>
          <w:trHeight w:val="282"/>
        </w:trPr>
        <w:tc>
          <w:tcPr>
            <w:tcW w:w="8596" w:type="dxa"/>
          </w:tcPr>
          <w:p w14:paraId="29D3F5F5" w14:textId="77777777" w:rsidR="00AF040B" w:rsidRDefault="00AF040B" w:rsidP="003053BC">
            <w:r>
              <w:t xml:space="preserve">Have you attended the Universal SYTT training? </w:t>
            </w:r>
          </w:p>
          <w:p w14:paraId="438F7E49" w14:textId="77777777" w:rsidR="00AF040B" w:rsidRPr="00E61D17" w:rsidRDefault="00AF040B" w:rsidP="003053BC">
            <w:pPr>
              <w:rPr>
                <w:b/>
              </w:rPr>
            </w:pPr>
          </w:p>
        </w:tc>
        <w:tc>
          <w:tcPr>
            <w:tcW w:w="567" w:type="dxa"/>
          </w:tcPr>
          <w:p w14:paraId="72EC9EE4" w14:textId="77777777" w:rsidR="00AF040B" w:rsidRDefault="00AF040B" w:rsidP="003053BC">
            <w:r>
              <w:t>Y/N</w:t>
            </w:r>
          </w:p>
        </w:tc>
        <w:tc>
          <w:tcPr>
            <w:tcW w:w="4785" w:type="dxa"/>
            <w:vMerge/>
          </w:tcPr>
          <w:p w14:paraId="7A989200" w14:textId="77777777" w:rsidR="00AF040B" w:rsidRDefault="00AF040B" w:rsidP="003053BC"/>
        </w:tc>
      </w:tr>
      <w:tr w:rsidR="00AF040B" w14:paraId="3309CF66" w14:textId="77777777" w:rsidTr="008C0E26">
        <w:trPr>
          <w:trHeight w:val="460"/>
        </w:trPr>
        <w:tc>
          <w:tcPr>
            <w:tcW w:w="8596" w:type="dxa"/>
          </w:tcPr>
          <w:p w14:paraId="313CB4CF" w14:textId="77777777" w:rsidR="00AF040B" w:rsidRPr="00E61D17" w:rsidRDefault="00AF040B" w:rsidP="003053BC">
            <w:pPr>
              <w:rPr>
                <w:b/>
              </w:rPr>
            </w:pPr>
            <w:r>
              <w:t>Have you attended the Enhanced SYTT training?</w:t>
            </w:r>
          </w:p>
        </w:tc>
        <w:tc>
          <w:tcPr>
            <w:tcW w:w="567" w:type="dxa"/>
          </w:tcPr>
          <w:p w14:paraId="00F14344" w14:textId="77777777" w:rsidR="00AF040B" w:rsidRDefault="00AF040B" w:rsidP="003053BC">
            <w:r>
              <w:t>Y/N</w:t>
            </w:r>
          </w:p>
        </w:tc>
        <w:tc>
          <w:tcPr>
            <w:tcW w:w="4785" w:type="dxa"/>
            <w:vMerge/>
          </w:tcPr>
          <w:p w14:paraId="42AE47EB" w14:textId="77777777" w:rsidR="00AF040B" w:rsidRDefault="00AF040B" w:rsidP="003053BC"/>
        </w:tc>
      </w:tr>
      <w:tr w:rsidR="00AF040B" w14:paraId="29050BCB" w14:textId="77777777" w:rsidTr="00A72D8F">
        <w:trPr>
          <w:trHeight w:val="460"/>
        </w:trPr>
        <w:tc>
          <w:tcPr>
            <w:tcW w:w="8596" w:type="dxa"/>
          </w:tcPr>
          <w:p w14:paraId="1A6656DF" w14:textId="77777777" w:rsidR="00AF040B" w:rsidRDefault="00AF040B" w:rsidP="002827BE">
            <w:r>
              <w:t xml:space="preserve">Have you identified the child’s current level of Speech, Language and Communication? </w:t>
            </w:r>
          </w:p>
          <w:p w14:paraId="631F622E" w14:textId="77777777" w:rsidR="00AF040B" w:rsidRDefault="00AF040B" w:rsidP="002827BE">
            <w:r>
              <w:t>(</w:t>
            </w:r>
            <w:r w:rsidRPr="00D50E6A">
              <w:rPr>
                <w:b/>
                <w:color w:val="FF0000"/>
              </w:rPr>
              <w:t>SYTT monitoring tool</w:t>
            </w:r>
            <w:r w:rsidRPr="00D50E6A">
              <w:rPr>
                <w:color w:val="FF0000"/>
              </w:rPr>
              <w:t xml:space="preserve"> </w:t>
            </w:r>
            <w:r>
              <w:t>and Universally Speaking)</w:t>
            </w:r>
          </w:p>
          <w:p w14:paraId="46066F41" w14:textId="77777777" w:rsidR="00AF040B" w:rsidRDefault="00AF040B" w:rsidP="003053BC"/>
        </w:tc>
        <w:tc>
          <w:tcPr>
            <w:tcW w:w="567" w:type="dxa"/>
          </w:tcPr>
          <w:p w14:paraId="7FE6E3B5" w14:textId="77777777" w:rsidR="00AF040B" w:rsidRDefault="00AF040B" w:rsidP="003053BC">
            <w:r>
              <w:t>Y/N</w:t>
            </w:r>
          </w:p>
        </w:tc>
        <w:tc>
          <w:tcPr>
            <w:tcW w:w="4785" w:type="dxa"/>
          </w:tcPr>
          <w:p w14:paraId="57BA8173" w14:textId="77777777" w:rsidR="00AF040B" w:rsidRDefault="00AF040B" w:rsidP="003053BC"/>
        </w:tc>
      </w:tr>
      <w:tr w:rsidR="00D50E6A" w14:paraId="3534ACD1" w14:textId="77777777" w:rsidTr="00AF040B">
        <w:trPr>
          <w:trHeight w:val="684"/>
        </w:trPr>
        <w:tc>
          <w:tcPr>
            <w:tcW w:w="13948" w:type="dxa"/>
            <w:gridSpan w:val="3"/>
          </w:tcPr>
          <w:p w14:paraId="41A23D9E" w14:textId="77777777" w:rsidR="00D50E6A" w:rsidRDefault="00D50E6A" w:rsidP="00D50E6A">
            <w:pPr>
              <w:pStyle w:val="Heading1"/>
            </w:pPr>
            <w:r w:rsidRPr="00E61D17">
              <w:lastRenderedPageBreak/>
              <w:t>Attention and listening</w:t>
            </w:r>
            <w:r>
              <w:t xml:space="preserve"> </w:t>
            </w:r>
          </w:p>
          <w:p w14:paraId="0822AC32" w14:textId="77777777" w:rsidR="00D50E6A" w:rsidRDefault="00D50E6A" w:rsidP="003053BC"/>
        </w:tc>
      </w:tr>
      <w:tr w:rsidR="00AF040B" w14:paraId="64A39990" w14:textId="77777777" w:rsidTr="004845FD">
        <w:trPr>
          <w:trHeight w:val="3095"/>
        </w:trPr>
        <w:tc>
          <w:tcPr>
            <w:tcW w:w="8596" w:type="dxa"/>
          </w:tcPr>
          <w:p w14:paraId="40D69FAC" w14:textId="77777777" w:rsidR="00AF040B" w:rsidRDefault="00AF040B" w:rsidP="00D22EBE">
            <w:pPr>
              <w:rPr>
                <w:b/>
              </w:rPr>
            </w:pPr>
            <w:r>
              <w:rPr>
                <w:b/>
              </w:rPr>
              <w:t>Are you using</w:t>
            </w:r>
            <w:r w:rsidRPr="005E6963">
              <w:rPr>
                <w:b/>
              </w:rPr>
              <w:t xml:space="preserve"> the following strategies? </w:t>
            </w:r>
          </w:p>
          <w:p w14:paraId="04B869D9" w14:textId="77777777" w:rsidR="00AF040B" w:rsidRPr="005E6963" w:rsidRDefault="00AF040B" w:rsidP="00D22EBE">
            <w:pPr>
              <w:rPr>
                <w:b/>
              </w:rPr>
            </w:pPr>
          </w:p>
          <w:p w14:paraId="31C14D93" w14:textId="77777777" w:rsidR="00AF040B" w:rsidRDefault="00AF040B" w:rsidP="00D22EBE">
            <w:pPr>
              <w:pStyle w:val="ListParagraph"/>
              <w:numPr>
                <w:ilvl w:val="0"/>
                <w:numId w:val="9"/>
              </w:numPr>
            </w:pPr>
            <w:r>
              <w:t>Removing visual distractions at times when you need the child to listen?</w:t>
            </w:r>
          </w:p>
          <w:p w14:paraId="5FC9CC87" w14:textId="77777777" w:rsidR="00AF040B" w:rsidRDefault="00AF040B" w:rsidP="00D22EBE">
            <w:pPr>
              <w:pStyle w:val="ListParagraph"/>
              <w:numPr>
                <w:ilvl w:val="0"/>
                <w:numId w:val="9"/>
              </w:numPr>
            </w:pPr>
            <w:r>
              <w:t>Using gestures, props and other visuals to maintain attention</w:t>
            </w:r>
          </w:p>
          <w:p w14:paraId="5BB845DC" w14:textId="77777777" w:rsidR="00AF040B" w:rsidRDefault="00AF040B" w:rsidP="00D22EBE">
            <w:pPr>
              <w:pStyle w:val="ListParagraph"/>
              <w:numPr>
                <w:ilvl w:val="0"/>
                <w:numId w:val="9"/>
              </w:numPr>
            </w:pPr>
            <w:r>
              <w:t>Using visual timetables, now-next boards, task planners to support transition between activities and independence</w:t>
            </w:r>
          </w:p>
          <w:p w14:paraId="475CFB90" w14:textId="77777777" w:rsidR="00AF040B" w:rsidRDefault="00AF040B" w:rsidP="00D22EBE">
            <w:pPr>
              <w:pStyle w:val="ListParagraph"/>
              <w:numPr>
                <w:ilvl w:val="0"/>
                <w:numId w:val="9"/>
              </w:numPr>
            </w:pPr>
            <w:r>
              <w:t>Making sure you are at the same level as the child where they can easily see you</w:t>
            </w:r>
          </w:p>
          <w:p w14:paraId="552B99B4" w14:textId="77777777" w:rsidR="00AF040B" w:rsidRDefault="00AF040B" w:rsidP="003053BC">
            <w:pPr>
              <w:pStyle w:val="ListParagraph"/>
              <w:numPr>
                <w:ilvl w:val="0"/>
                <w:numId w:val="9"/>
              </w:numPr>
            </w:pPr>
            <w:r>
              <w:t>Gaining the child’s attention before giving an instruction (e.g. saying their name, gentle tap)</w:t>
            </w:r>
          </w:p>
          <w:p w14:paraId="04B478CB" w14:textId="77777777" w:rsidR="00AF040B" w:rsidRPr="00D22EBE" w:rsidRDefault="00AF040B" w:rsidP="003053BC">
            <w:pPr>
              <w:pStyle w:val="ListParagraph"/>
              <w:numPr>
                <w:ilvl w:val="0"/>
                <w:numId w:val="9"/>
              </w:numPr>
            </w:pPr>
            <w:r>
              <w:t>Adapting your language – use short sentences, simple words, varied facial expressions and voice</w:t>
            </w:r>
          </w:p>
        </w:tc>
        <w:tc>
          <w:tcPr>
            <w:tcW w:w="567" w:type="dxa"/>
          </w:tcPr>
          <w:p w14:paraId="1A8AB487" w14:textId="77777777" w:rsidR="00AF040B" w:rsidRDefault="00AF040B" w:rsidP="003053BC">
            <w:r>
              <w:t>Y/N</w:t>
            </w:r>
          </w:p>
        </w:tc>
        <w:tc>
          <w:tcPr>
            <w:tcW w:w="4785" w:type="dxa"/>
          </w:tcPr>
          <w:p w14:paraId="563C5C09" w14:textId="77777777" w:rsidR="00AF040B" w:rsidRDefault="00AF040B" w:rsidP="003053BC">
            <w:r>
              <w:t>Notes/Further Actions</w:t>
            </w:r>
          </w:p>
        </w:tc>
      </w:tr>
      <w:tr w:rsidR="003167FB" w14:paraId="084D89F4" w14:textId="77777777" w:rsidTr="00AF040B">
        <w:trPr>
          <w:trHeight w:val="690"/>
        </w:trPr>
        <w:tc>
          <w:tcPr>
            <w:tcW w:w="13948" w:type="dxa"/>
            <w:gridSpan w:val="3"/>
          </w:tcPr>
          <w:p w14:paraId="73471069" w14:textId="77777777" w:rsidR="003167FB" w:rsidRDefault="003167FB" w:rsidP="003167FB">
            <w:pPr>
              <w:pStyle w:val="Heading1"/>
            </w:pPr>
            <w:r w:rsidRPr="005E6963">
              <w:t>Understanding of language</w:t>
            </w:r>
          </w:p>
        </w:tc>
      </w:tr>
      <w:tr w:rsidR="00AF040B" w14:paraId="5C53DEA6" w14:textId="77777777" w:rsidTr="00F61124">
        <w:trPr>
          <w:trHeight w:val="615"/>
        </w:trPr>
        <w:tc>
          <w:tcPr>
            <w:tcW w:w="8596" w:type="dxa"/>
          </w:tcPr>
          <w:p w14:paraId="21B20838" w14:textId="77777777" w:rsidR="00AF040B" w:rsidRDefault="00AF040B" w:rsidP="003167FB">
            <w:pPr>
              <w:rPr>
                <w:b/>
              </w:rPr>
            </w:pPr>
            <w:r>
              <w:rPr>
                <w:b/>
              </w:rPr>
              <w:t>Are you using</w:t>
            </w:r>
            <w:r w:rsidRPr="005E6963">
              <w:rPr>
                <w:b/>
              </w:rPr>
              <w:t xml:space="preserve"> the following strategies? </w:t>
            </w:r>
          </w:p>
          <w:p w14:paraId="45F2171F" w14:textId="77777777" w:rsidR="00AF040B" w:rsidRPr="005E6963" w:rsidRDefault="00AF040B" w:rsidP="003167FB">
            <w:pPr>
              <w:rPr>
                <w:b/>
              </w:rPr>
            </w:pPr>
          </w:p>
          <w:p w14:paraId="736DE4BD" w14:textId="77777777" w:rsidR="00AF040B" w:rsidRPr="00AF040B" w:rsidRDefault="00AF040B" w:rsidP="003167FB">
            <w:pPr>
              <w:pStyle w:val="ListParagraph"/>
              <w:numPr>
                <w:ilvl w:val="0"/>
                <w:numId w:val="3"/>
              </w:numPr>
            </w:pPr>
            <w:r w:rsidRPr="00AF040B">
              <w:t xml:space="preserve">All the strategies outlined </w:t>
            </w:r>
            <w:r>
              <w:t xml:space="preserve">above </w:t>
            </w:r>
            <w:r w:rsidRPr="00AF040B">
              <w:t>for attention and listening</w:t>
            </w:r>
            <w:r>
              <w:t xml:space="preserve"> </w:t>
            </w:r>
          </w:p>
          <w:p w14:paraId="59ED16C0" w14:textId="77777777" w:rsidR="00AF040B" w:rsidRDefault="00AF040B" w:rsidP="003167FB">
            <w:pPr>
              <w:pStyle w:val="ListParagraph"/>
              <w:numPr>
                <w:ilvl w:val="0"/>
                <w:numId w:val="3"/>
              </w:numPr>
            </w:pPr>
            <w:r>
              <w:t>Allowing more time for the child to process what you are saying</w:t>
            </w:r>
          </w:p>
          <w:p w14:paraId="778EB9C2" w14:textId="77777777" w:rsidR="00AF040B" w:rsidRDefault="00AF040B" w:rsidP="003167FB">
            <w:pPr>
              <w:pStyle w:val="ListParagraph"/>
              <w:numPr>
                <w:ilvl w:val="0"/>
                <w:numId w:val="3"/>
              </w:numPr>
            </w:pPr>
            <w:r>
              <w:t>Using song baskets and resources to support understanding of the words</w:t>
            </w:r>
          </w:p>
          <w:p w14:paraId="39794AE7" w14:textId="77777777" w:rsidR="00AF040B" w:rsidRDefault="00AF040B" w:rsidP="003167FB">
            <w:pPr>
              <w:pStyle w:val="ListParagraph"/>
              <w:numPr>
                <w:ilvl w:val="0"/>
                <w:numId w:val="3"/>
              </w:numPr>
            </w:pPr>
            <w:r>
              <w:t>Using story sacks/baskets to support understanding of stories and story vocabulary</w:t>
            </w:r>
          </w:p>
        </w:tc>
        <w:tc>
          <w:tcPr>
            <w:tcW w:w="567" w:type="dxa"/>
          </w:tcPr>
          <w:p w14:paraId="7D3B4A78" w14:textId="77777777" w:rsidR="00AF040B" w:rsidRDefault="00AF040B" w:rsidP="003053BC">
            <w:r>
              <w:t>Y/N</w:t>
            </w:r>
          </w:p>
        </w:tc>
        <w:tc>
          <w:tcPr>
            <w:tcW w:w="4785" w:type="dxa"/>
          </w:tcPr>
          <w:p w14:paraId="66A4D387" w14:textId="77777777" w:rsidR="00AF040B" w:rsidRDefault="00AF040B" w:rsidP="003053BC"/>
        </w:tc>
      </w:tr>
      <w:tr w:rsidR="00007471" w14:paraId="1C86D897" w14:textId="77777777" w:rsidTr="00AF040B">
        <w:tc>
          <w:tcPr>
            <w:tcW w:w="13948" w:type="dxa"/>
            <w:gridSpan w:val="3"/>
          </w:tcPr>
          <w:p w14:paraId="189162C5" w14:textId="77777777" w:rsidR="00007471" w:rsidRDefault="00007471" w:rsidP="00007471">
            <w:pPr>
              <w:pStyle w:val="Heading1"/>
            </w:pPr>
            <w:r>
              <w:t>Vocabulary</w:t>
            </w:r>
          </w:p>
        </w:tc>
      </w:tr>
      <w:tr w:rsidR="00AF040B" w14:paraId="0D09CC48" w14:textId="77777777" w:rsidTr="0085690D">
        <w:tc>
          <w:tcPr>
            <w:tcW w:w="8596" w:type="dxa"/>
          </w:tcPr>
          <w:p w14:paraId="7C2FD518" w14:textId="77777777" w:rsidR="00AF040B" w:rsidRDefault="00AF040B" w:rsidP="002827BE">
            <w:pPr>
              <w:rPr>
                <w:b/>
              </w:rPr>
            </w:pPr>
            <w:r>
              <w:rPr>
                <w:b/>
              </w:rPr>
              <w:t>Are you using</w:t>
            </w:r>
            <w:r w:rsidRPr="005E6963">
              <w:rPr>
                <w:b/>
              </w:rPr>
              <w:t xml:space="preserve"> the following strategies? </w:t>
            </w:r>
          </w:p>
          <w:p w14:paraId="520EFB6B" w14:textId="77777777" w:rsidR="00AF040B" w:rsidRDefault="00AF040B" w:rsidP="002827BE"/>
          <w:p w14:paraId="23D021E6" w14:textId="77777777" w:rsidR="00AF040B" w:rsidRDefault="00AF040B" w:rsidP="003053BC">
            <w:pPr>
              <w:pStyle w:val="ListParagraph"/>
              <w:numPr>
                <w:ilvl w:val="0"/>
                <w:numId w:val="3"/>
              </w:numPr>
            </w:pPr>
            <w:r>
              <w:t xml:space="preserve">Supporting new vocabulary and concepts through </w:t>
            </w:r>
            <w:r w:rsidRPr="005E6963">
              <w:rPr>
                <w:b/>
              </w:rPr>
              <w:t>repetition, emphasis, multisensory experiences</w:t>
            </w:r>
            <w:r>
              <w:t xml:space="preserve"> – see it, feel it, touch it, do it</w:t>
            </w:r>
          </w:p>
          <w:p w14:paraId="02B128DC" w14:textId="77777777" w:rsidR="00AF040B" w:rsidRDefault="00AF040B" w:rsidP="003053BC">
            <w:pPr>
              <w:pStyle w:val="ListParagraph"/>
              <w:numPr>
                <w:ilvl w:val="0"/>
                <w:numId w:val="3"/>
              </w:numPr>
            </w:pPr>
            <w:r>
              <w:t>Using mind maps/ word webs to support new vocabulary learning</w:t>
            </w:r>
          </w:p>
          <w:p w14:paraId="61792B27" w14:textId="77777777" w:rsidR="00AF040B" w:rsidRDefault="00AF040B" w:rsidP="003053BC">
            <w:pPr>
              <w:pStyle w:val="ListParagraph"/>
              <w:numPr>
                <w:ilvl w:val="0"/>
                <w:numId w:val="3"/>
              </w:numPr>
            </w:pPr>
            <w:r>
              <w:t>Sharing and displaying new vocabulary, e.g. wall display, word tree</w:t>
            </w:r>
          </w:p>
          <w:p w14:paraId="00796FF5" w14:textId="77777777" w:rsidR="00AF040B" w:rsidRPr="00AE6DE3" w:rsidRDefault="00AF040B" w:rsidP="003053BC">
            <w:pPr>
              <w:pStyle w:val="ListParagraph"/>
              <w:numPr>
                <w:ilvl w:val="0"/>
                <w:numId w:val="3"/>
              </w:numPr>
            </w:pPr>
            <w:r>
              <w:t>Sharing ideas with families around new vocabulary</w:t>
            </w:r>
          </w:p>
        </w:tc>
        <w:tc>
          <w:tcPr>
            <w:tcW w:w="567" w:type="dxa"/>
          </w:tcPr>
          <w:p w14:paraId="4DC8CCFD" w14:textId="77777777" w:rsidR="00AF040B" w:rsidRDefault="00AF040B" w:rsidP="003053BC">
            <w:r>
              <w:t>Y/N</w:t>
            </w:r>
          </w:p>
        </w:tc>
        <w:tc>
          <w:tcPr>
            <w:tcW w:w="4785" w:type="dxa"/>
          </w:tcPr>
          <w:p w14:paraId="2B6CEE96" w14:textId="77777777" w:rsidR="00AF040B" w:rsidRDefault="00AF040B" w:rsidP="003053BC"/>
        </w:tc>
      </w:tr>
      <w:tr w:rsidR="00007471" w14:paraId="1E76EBC6" w14:textId="77777777" w:rsidTr="00AF040B">
        <w:trPr>
          <w:trHeight w:val="685"/>
        </w:trPr>
        <w:tc>
          <w:tcPr>
            <w:tcW w:w="13948" w:type="dxa"/>
            <w:gridSpan w:val="3"/>
          </w:tcPr>
          <w:p w14:paraId="4BEEAD30" w14:textId="77777777" w:rsidR="00007471" w:rsidRDefault="00007471" w:rsidP="00007471">
            <w:pPr>
              <w:pStyle w:val="Heading1"/>
            </w:pPr>
            <w:r w:rsidRPr="005E6963">
              <w:lastRenderedPageBreak/>
              <w:t>Spoken language</w:t>
            </w:r>
          </w:p>
        </w:tc>
      </w:tr>
      <w:tr w:rsidR="00AF040B" w14:paraId="7ADED2E2" w14:textId="77777777" w:rsidTr="008A3E94">
        <w:trPr>
          <w:trHeight w:val="915"/>
        </w:trPr>
        <w:tc>
          <w:tcPr>
            <w:tcW w:w="8596" w:type="dxa"/>
          </w:tcPr>
          <w:p w14:paraId="533FBC88" w14:textId="77777777" w:rsidR="00AF040B" w:rsidRPr="005E6963" w:rsidRDefault="00AF040B" w:rsidP="00007471">
            <w:pPr>
              <w:rPr>
                <w:b/>
              </w:rPr>
            </w:pPr>
            <w:r w:rsidRPr="005E6963">
              <w:rPr>
                <w:b/>
              </w:rPr>
              <w:t>Are you using the following strategies?</w:t>
            </w:r>
          </w:p>
          <w:p w14:paraId="4F3090B0" w14:textId="77777777" w:rsidR="00AF040B" w:rsidRDefault="00AF040B" w:rsidP="00007471">
            <w:pPr>
              <w:pStyle w:val="ListParagraph"/>
              <w:numPr>
                <w:ilvl w:val="0"/>
                <w:numId w:val="4"/>
              </w:numPr>
            </w:pPr>
            <w:r>
              <w:t>Allowing more time for the child to find the words they need to say</w:t>
            </w:r>
          </w:p>
          <w:p w14:paraId="152B7D44" w14:textId="77777777" w:rsidR="00AF040B" w:rsidRDefault="00AF040B" w:rsidP="00007471">
            <w:pPr>
              <w:pStyle w:val="ListParagraph"/>
              <w:numPr>
                <w:ilvl w:val="0"/>
                <w:numId w:val="4"/>
              </w:numPr>
            </w:pPr>
            <w:r>
              <w:t>Encouraging both verbal and non-verbal means of communicating</w:t>
            </w:r>
          </w:p>
          <w:p w14:paraId="40715E90" w14:textId="77777777" w:rsidR="00AF040B" w:rsidRDefault="00AF040B" w:rsidP="00007471">
            <w:pPr>
              <w:pStyle w:val="ListParagraph"/>
              <w:numPr>
                <w:ilvl w:val="0"/>
                <w:numId w:val="4"/>
              </w:numPr>
            </w:pPr>
            <w:r>
              <w:t>Giving forced alternative questions, e.g. is it a book or a magazine?</w:t>
            </w:r>
          </w:p>
          <w:p w14:paraId="58459161" w14:textId="77777777" w:rsidR="00AF040B" w:rsidRDefault="00AF040B" w:rsidP="00007471">
            <w:pPr>
              <w:pStyle w:val="ListParagraph"/>
              <w:numPr>
                <w:ilvl w:val="0"/>
                <w:numId w:val="4"/>
              </w:numPr>
            </w:pPr>
            <w:r>
              <w:t>Using wordless books, toys and puppets, audio stories to enhance spoken language, vocabulary and a love of reading</w:t>
            </w:r>
          </w:p>
          <w:p w14:paraId="7FE7129F" w14:textId="77777777" w:rsidR="00AF040B" w:rsidRPr="002827BE" w:rsidRDefault="00AF040B" w:rsidP="00007471">
            <w:pPr>
              <w:pStyle w:val="ListParagraph"/>
              <w:numPr>
                <w:ilvl w:val="0"/>
                <w:numId w:val="4"/>
              </w:numPr>
            </w:pPr>
            <w:r>
              <w:t>Offering multiple opportunities and reasons to communicate in daily routines</w:t>
            </w:r>
          </w:p>
        </w:tc>
        <w:tc>
          <w:tcPr>
            <w:tcW w:w="567" w:type="dxa"/>
          </w:tcPr>
          <w:p w14:paraId="5EC25C8A" w14:textId="77777777" w:rsidR="00AF040B" w:rsidRDefault="00AF040B" w:rsidP="003053BC">
            <w:r>
              <w:t>Y/N</w:t>
            </w:r>
          </w:p>
        </w:tc>
        <w:tc>
          <w:tcPr>
            <w:tcW w:w="4785" w:type="dxa"/>
          </w:tcPr>
          <w:p w14:paraId="616500DC" w14:textId="77777777" w:rsidR="00AF040B" w:rsidRDefault="00AF040B" w:rsidP="003053BC"/>
        </w:tc>
      </w:tr>
      <w:tr w:rsidR="002827BE" w14:paraId="15416A6B" w14:textId="77777777" w:rsidTr="00AF040B">
        <w:trPr>
          <w:trHeight w:val="653"/>
        </w:trPr>
        <w:tc>
          <w:tcPr>
            <w:tcW w:w="13948" w:type="dxa"/>
            <w:gridSpan w:val="3"/>
          </w:tcPr>
          <w:p w14:paraId="514D1592" w14:textId="77777777" w:rsidR="002827BE" w:rsidRDefault="002827BE" w:rsidP="002827BE">
            <w:pPr>
              <w:pStyle w:val="Heading1"/>
            </w:pPr>
            <w:r>
              <w:t>Speech</w:t>
            </w:r>
          </w:p>
        </w:tc>
      </w:tr>
      <w:tr w:rsidR="00AF040B" w14:paraId="3B765084" w14:textId="77777777" w:rsidTr="004170A4">
        <w:trPr>
          <w:trHeight w:val="1125"/>
        </w:trPr>
        <w:tc>
          <w:tcPr>
            <w:tcW w:w="8596" w:type="dxa"/>
          </w:tcPr>
          <w:p w14:paraId="099C3F53" w14:textId="77777777" w:rsidR="00AF040B" w:rsidRDefault="00AF040B" w:rsidP="003053BC">
            <w:pPr>
              <w:rPr>
                <w:b/>
              </w:rPr>
            </w:pPr>
            <w:r>
              <w:rPr>
                <w:b/>
              </w:rPr>
              <w:t xml:space="preserve">Are you using the following strategies? </w:t>
            </w:r>
          </w:p>
          <w:p w14:paraId="4A360C53" w14:textId="77777777" w:rsidR="00AF040B" w:rsidRDefault="00AF040B" w:rsidP="003053B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 ‘book about me’ with photos of people, activities and places important to the child to support successful communication</w:t>
            </w:r>
          </w:p>
          <w:p w14:paraId="16839656" w14:textId="77777777" w:rsidR="00AF040B" w:rsidRDefault="00AF040B" w:rsidP="003053B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 home-setting book/email/’tapestry’ tool to share information to support communication with the child</w:t>
            </w:r>
          </w:p>
          <w:p w14:paraId="512B0DF9" w14:textId="77777777" w:rsidR="00AF040B" w:rsidRDefault="00AF040B" w:rsidP="003053B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Being honest about what you have understood and what you haven’t</w:t>
            </w:r>
          </w:p>
          <w:p w14:paraId="7BC3F427" w14:textId="77777777" w:rsidR="00AF040B" w:rsidRDefault="00AF040B" w:rsidP="003053B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Encouraging other methods of communication – e.g. showing you, gestures, drawing</w:t>
            </w:r>
          </w:p>
          <w:p w14:paraId="277A6F2F" w14:textId="77777777" w:rsidR="00AF040B" w:rsidRDefault="00AF040B" w:rsidP="003053B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Repeating back clearly what the child has said without asking them to repeat</w:t>
            </w:r>
          </w:p>
          <w:p w14:paraId="1F083106" w14:textId="77777777" w:rsidR="00AF040B" w:rsidRPr="00F16858" w:rsidRDefault="00AF040B" w:rsidP="003053B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Listening and phonological awareness activities – e.g. listening games – instruments, environmental sounds, syllable clapping, rhyme play, alliteration</w:t>
            </w:r>
          </w:p>
        </w:tc>
        <w:tc>
          <w:tcPr>
            <w:tcW w:w="567" w:type="dxa"/>
          </w:tcPr>
          <w:p w14:paraId="184D6995" w14:textId="77777777" w:rsidR="00AF040B" w:rsidRDefault="00AF040B" w:rsidP="003053BC">
            <w:r>
              <w:t>Y/N</w:t>
            </w:r>
          </w:p>
        </w:tc>
        <w:tc>
          <w:tcPr>
            <w:tcW w:w="4785" w:type="dxa"/>
          </w:tcPr>
          <w:p w14:paraId="6CD827A8" w14:textId="77777777" w:rsidR="00AF040B" w:rsidRDefault="00AF040B" w:rsidP="003053BC"/>
        </w:tc>
      </w:tr>
      <w:tr w:rsidR="002827BE" w14:paraId="2A2B8FE4" w14:textId="77777777" w:rsidTr="00AF040B">
        <w:tc>
          <w:tcPr>
            <w:tcW w:w="8596" w:type="dxa"/>
          </w:tcPr>
          <w:p w14:paraId="44FBB4CA" w14:textId="77777777" w:rsidR="002827BE" w:rsidRPr="002827BE" w:rsidRDefault="002827BE" w:rsidP="002827BE">
            <w:pPr>
              <w:pStyle w:val="Heading1"/>
            </w:pPr>
            <w:r w:rsidRPr="00AE6DE3">
              <w:t>Support from the Early Years Inclusion Team</w:t>
            </w:r>
          </w:p>
        </w:tc>
        <w:tc>
          <w:tcPr>
            <w:tcW w:w="5352" w:type="dxa"/>
            <w:gridSpan w:val="2"/>
          </w:tcPr>
          <w:p w14:paraId="07538540" w14:textId="77777777" w:rsidR="002827BE" w:rsidRDefault="002827BE" w:rsidP="003053BC"/>
        </w:tc>
      </w:tr>
      <w:tr w:rsidR="00AF040B" w14:paraId="616FC501" w14:textId="77777777" w:rsidTr="0047218B">
        <w:tc>
          <w:tcPr>
            <w:tcW w:w="8596" w:type="dxa"/>
          </w:tcPr>
          <w:p w14:paraId="643BD4AC" w14:textId="77777777" w:rsidR="00AF040B" w:rsidRDefault="00AF040B" w:rsidP="003053BC">
            <w:pPr>
              <w:pStyle w:val="ListParagraph"/>
              <w:numPr>
                <w:ilvl w:val="0"/>
                <w:numId w:val="4"/>
              </w:numPr>
            </w:pPr>
            <w:r>
              <w:t>Has the child been discussed during an Inclusion conversation?</w:t>
            </w:r>
          </w:p>
          <w:p w14:paraId="665AC930" w14:textId="77777777" w:rsidR="00AF040B" w:rsidRDefault="00AF040B" w:rsidP="003053BC">
            <w:pPr>
              <w:pStyle w:val="ListParagraph"/>
              <w:numPr>
                <w:ilvl w:val="0"/>
                <w:numId w:val="4"/>
              </w:numPr>
            </w:pPr>
            <w:r>
              <w:t>Have you completed an APDR cycle?</w:t>
            </w:r>
          </w:p>
          <w:p w14:paraId="43E51632" w14:textId="77777777" w:rsidR="00AF040B" w:rsidRDefault="00AF040B" w:rsidP="003053BC">
            <w:pPr>
              <w:pStyle w:val="ListParagraph"/>
              <w:numPr>
                <w:ilvl w:val="0"/>
                <w:numId w:val="4"/>
              </w:numPr>
            </w:pPr>
            <w:r>
              <w:t>Has the child made any progress?</w:t>
            </w:r>
          </w:p>
        </w:tc>
        <w:tc>
          <w:tcPr>
            <w:tcW w:w="567" w:type="dxa"/>
          </w:tcPr>
          <w:p w14:paraId="46915B3F" w14:textId="77777777" w:rsidR="00AF040B" w:rsidRDefault="00AF040B" w:rsidP="003053BC">
            <w:r>
              <w:t>Y/N</w:t>
            </w:r>
          </w:p>
        </w:tc>
        <w:tc>
          <w:tcPr>
            <w:tcW w:w="4785" w:type="dxa"/>
          </w:tcPr>
          <w:p w14:paraId="51666CFB" w14:textId="77777777" w:rsidR="00AF040B" w:rsidRDefault="00AF040B" w:rsidP="003053BC"/>
        </w:tc>
      </w:tr>
    </w:tbl>
    <w:p w14:paraId="17E59FD1" w14:textId="77777777" w:rsidR="004169EE" w:rsidRDefault="004169EE"/>
    <w:sectPr w:rsidR="004169EE" w:rsidSect="00E61D1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1EAD" w14:textId="77777777" w:rsidR="004169EE" w:rsidRDefault="004169EE" w:rsidP="004169EE">
      <w:pPr>
        <w:spacing w:after="0" w:line="240" w:lineRule="auto"/>
      </w:pPr>
      <w:r>
        <w:separator/>
      </w:r>
    </w:p>
  </w:endnote>
  <w:endnote w:type="continuationSeparator" w:id="0">
    <w:p w14:paraId="5A59C9BB" w14:textId="77777777" w:rsidR="004169EE" w:rsidRDefault="004169EE" w:rsidP="0041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68C6" w14:textId="77777777" w:rsidR="004169EE" w:rsidRDefault="004169EE" w:rsidP="004169EE">
      <w:pPr>
        <w:spacing w:after="0" w:line="240" w:lineRule="auto"/>
      </w:pPr>
      <w:r>
        <w:separator/>
      </w:r>
    </w:p>
  </w:footnote>
  <w:footnote w:type="continuationSeparator" w:id="0">
    <w:p w14:paraId="45D12AE1" w14:textId="77777777" w:rsidR="004169EE" w:rsidRDefault="004169EE" w:rsidP="0041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9D4C" w14:textId="77777777" w:rsidR="004169EE" w:rsidRDefault="00D50E6A">
    <w:pPr>
      <w:pStyle w:val="Header"/>
    </w:pPr>
    <w:r w:rsidRPr="00006F90">
      <w:rPr>
        <w:noProof/>
        <w:lang w:eastAsia="en-GB"/>
      </w:rPr>
      <w:drawing>
        <wp:anchor distT="0" distB="0" distL="114300" distR="114300" simplePos="0" relativeHeight="251678720" behindDoc="0" locked="0" layoutInCell="1" allowOverlap="1" wp14:anchorId="6DDAD347" wp14:editId="7EE8309E">
          <wp:simplePos x="0" y="0"/>
          <wp:positionH relativeFrom="column">
            <wp:posOffset>7734300</wp:posOffset>
          </wp:positionH>
          <wp:positionV relativeFrom="paragraph">
            <wp:posOffset>-139065</wp:posOffset>
          </wp:positionV>
          <wp:extent cx="1520190" cy="607695"/>
          <wp:effectExtent l="0" t="0" r="3810" b="1905"/>
          <wp:wrapSquare wrapText="bothSides"/>
          <wp:docPr id="57" name="Picture 57" descr="C:\Users\Alisonl\AppData\Local\Microsoft\Windows\INetCache\Content.Outlook\E3BIY687\SYT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l\AppData\Local\Microsoft\Windows\INetCache\Content.Outlook\E3BIY687\SYTT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94" r="16072" b="67169"/>
                  <a:stretch/>
                </pic:blipFill>
                <pic:spPr bwMode="auto">
                  <a:xfrm>
                    <a:off x="0" y="0"/>
                    <a:ext cx="15201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49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2C9E17E8" wp14:editId="4807F885">
          <wp:simplePos x="0" y="0"/>
          <wp:positionH relativeFrom="column">
            <wp:posOffset>4933950</wp:posOffset>
          </wp:positionH>
          <wp:positionV relativeFrom="paragraph">
            <wp:posOffset>-261620</wp:posOffset>
          </wp:positionV>
          <wp:extent cx="1390015" cy="723900"/>
          <wp:effectExtent l="0" t="0" r="0" b="0"/>
          <wp:wrapSquare wrapText="bothSides"/>
          <wp:docPr id="59" name="Picture 59" descr="C:\Users\Alisonl\AppData\Local\Microsoft\Windows\INetCache\Content.Outlook\E3BIY687\RDaSH-Logo-300-Blue-and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sonl\AppData\Local\Microsoft\Windows\INetCache\Content.Outlook\E3BIY687\RDaSH-Logo-300-Blue-and-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68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D5ECF7" wp14:editId="4DF0BA16">
          <wp:simplePos x="0" y="0"/>
          <wp:positionH relativeFrom="column">
            <wp:posOffset>2324100</wp:posOffset>
          </wp:positionH>
          <wp:positionV relativeFrom="paragraph">
            <wp:posOffset>-259080</wp:posOffset>
          </wp:positionV>
          <wp:extent cx="723900" cy="723900"/>
          <wp:effectExtent l="0" t="0" r="0" b="0"/>
          <wp:wrapSquare wrapText="bothSides"/>
          <wp:docPr id="19" name="Picture 19" descr="C:\Users\Alisonl\AppData\Local\Microsoft\Windows\INetCache\Content.Outlook\E3BIY687\DMBC Family Hub Logo 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sonl\AppData\Local\Microsoft\Windows\INetCache\Content.Outlook\E3BIY687\DMBC Family Hub Logo GREE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49D">
      <w:rPr>
        <w:noProof/>
        <w:lang w:eastAsia="en-GB"/>
      </w:rPr>
      <w:drawing>
        <wp:anchor distT="0" distB="0" distL="114300" distR="114300" simplePos="0" relativeHeight="251644928" behindDoc="0" locked="0" layoutInCell="1" allowOverlap="1" wp14:anchorId="271FCFA9" wp14:editId="0A6E4EEE">
          <wp:simplePos x="0" y="0"/>
          <wp:positionH relativeFrom="column">
            <wp:posOffset>-552450</wp:posOffset>
          </wp:positionH>
          <wp:positionV relativeFrom="paragraph">
            <wp:posOffset>-118745</wp:posOffset>
          </wp:positionV>
          <wp:extent cx="1434465" cy="563880"/>
          <wp:effectExtent l="0" t="0" r="0" b="7620"/>
          <wp:wrapSquare wrapText="bothSides"/>
          <wp:docPr id="18" name="Picture 18" descr="C:\Users\Alisonl\Downloads\DMBC-L-Logo-Blac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l\Downloads\DMBC-L-Logo-Black (1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216"/>
    <w:multiLevelType w:val="hybridMultilevel"/>
    <w:tmpl w:val="C6F2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D5A66"/>
    <w:multiLevelType w:val="hybridMultilevel"/>
    <w:tmpl w:val="59F80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27088"/>
    <w:multiLevelType w:val="hybridMultilevel"/>
    <w:tmpl w:val="E766D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D06A1"/>
    <w:multiLevelType w:val="hybridMultilevel"/>
    <w:tmpl w:val="DD2E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82077"/>
    <w:multiLevelType w:val="hybridMultilevel"/>
    <w:tmpl w:val="7E1A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C4C"/>
    <w:multiLevelType w:val="hybridMultilevel"/>
    <w:tmpl w:val="1374A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769F6"/>
    <w:multiLevelType w:val="hybridMultilevel"/>
    <w:tmpl w:val="A54CD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94130"/>
    <w:multiLevelType w:val="hybridMultilevel"/>
    <w:tmpl w:val="1F185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364A5"/>
    <w:multiLevelType w:val="hybridMultilevel"/>
    <w:tmpl w:val="CACC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92005">
    <w:abstractNumId w:val="2"/>
  </w:num>
  <w:num w:numId="2" w16cid:durableId="152380605">
    <w:abstractNumId w:val="7"/>
  </w:num>
  <w:num w:numId="3" w16cid:durableId="1967003845">
    <w:abstractNumId w:val="8"/>
  </w:num>
  <w:num w:numId="4" w16cid:durableId="221134090">
    <w:abstractNumId w:val="1"/>
  </w:num>
  <w:num w:numId="5" w16cid:durableId="1915622368">
    <w:abstractNumId w:val="0"/>
  </w:num>
  <w:num w:numId="6" w16cid:durableId="2002268652">
    <w:abstractNumId w:val="3"/>
  </w:num>
  <w:num w:numId="7" w16cid:durableId="1188717920">
    <w:abstractNumId w:val="5"/>
  </w:num>
  <w:num w:numId="8" w16cid:durableId="673261653">
    <w:abstractNumId w:val="6"/>
  </w:num>
  <w:num w:numId="9" w16cid:durableId="1226256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17"/>
    <w:rsid w:val="00007471"/>
    <w:rsid w:val="002827BE"/>
    <w:rsid w:val="003167FB"/>
    <w:rsid w:val="004169EE"/>
    <w:rsid w:val="005C1BC4"/>
    <w:rsid w:val="005E6963"/>
    <w:rsid w:val="006E541C"/>
    <w:rsid w:val="0080554F"/>
    <w:rsid w:val="009523C1"/>
    <w:rsid w:val="00AE6DE3"/>
    <w:rsid w:val="00AF040B"/>
    <w:rsid w:val="00CE230B"/>
    <w:rsid w:val="00D22EBE"/>
    <w:rsid w:val="00D50E6A"/>
    <w:rsid w:val="00E61D17"/>
    <w:rsid w:val="00F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8A6D"/>
  <w15:docId w15:val="{4D3C0AF9-3148-4778-8838-C494F05F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EE"/>
  </w:style>
  <w:style w:type="paragraph" w:styleId="Footer">
    <w:name w:val="footer"/>
    <w:basedOn w:val="Normal"/>
    <w:link w:val="FooterChar"/>
    <w:uiPriority w:val="99"/>
    <w:unhideWhenUsed/>
    <w:rsid w:val="00416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EE"/>
  </w:style>
  <w:style w:type="character" w:customStyle="1" w:styleId="Heading1Char">
    <w:name w:val="Heading 1 Char"/>
    <w:basedOn w:val="DefaultParagraphFont"/>
    <w:link w:val="Heading1"/>
    <w:uiPriority w:val="9"/>
    <w:rsid w:val="00D22E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961315CC787478ABAB13C72FD1B86" ma:contentTypeVersion="15" ma:contentTypeDescription="Create a new document." ma:contentTypeScope="" ma:versionID="7fd7e5162c79813a204305d2e5ce2add">
  <xsd:schema xmlns:xsd="http://www.w3.org/2001/XMLSchema" xmlns:xs="http://www.w3.org/2001/XMLSchema" xmlns:p="http://schemas.microsoft.com/office/2006/metadata/properties" xmlns:ns2="9ec2ec4d-dd78-4615-85c3-19d8dc5867b6" xmlns:ns3="3deb92c0-12f0-4ba8-ae06-5b0a2613e68c" targetNamespace="http://schemas.microsoft.com/office/2006/metadata/properties" ma:root="true" ma:fieldsID="bab49d2a8333560180cb8f3728e5b26e" ns2:_="" ns3:_="">
    <xsd:import namespace="9ec2ec4d-dd78-4615-85c3-19d8dc5867b6"/>
    <xsd:import namespace="3deb92c0-12f0-4ba8-ae06-5b0a2613e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ec4d-dd78-4615-85c3-19d8dc586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b92c0-12f0-4ba8-ae06-5b0a2613e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d129fc-da5c-406c-ba53-ed67ee009934}" ma:internalName="TaxCatchAll" ma:showField="CatchAllData" ma:web="3deb92c0-12f0-4ba8-ae06-5b0a2613e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2ec4d-dd78-4615-85c3-19d8dc5867b6">
      <Terms xmlns="http://schemas.microsoft.com/office/infopath/2007/PartnerControls"/>
    </lcf76f155ced4ddcb4097134ff3c332f>
    <TaxCatchAll xmlns="3deb92c0-12f0-4ba8-ae06-5b0a2613e68c" xsi:nil="true"/>
  </documentManagement>
</p:properties>
</file>

<file path=customXml/itemProps1.xml><?xml version="1.0" encoding="utf-8"?>
<ds:datastoreItem xmlns:ds="http://schemas.openxmlformats.org/officeDocument/2006/customXml" ds:itemID="{6E4D1784-3BD5-4F60-974B-0AC6AE8E06A8}"/>
</file>

<file path=customXml/itemProps2.xml><?xml version="1.0" encoding="utf-8"?>
<ds:datastoreItem xmlns:ds="http://schemas.openxmlformats.org/officeDocument/2006/customXml" ds:itemID="{BE95E09F-1B66-4537-A9E7-8F616476FF98}"/>
</file>

<file path=customXml/itemProps3.xml><?xml version="1.0" encoding="utf-8"?>
<ds:datastoreItem xmlns:ds="http://schemas.openxmlformats.org/officeDocument/2006/customXml" ds:itemID="{1B09D4D3-E77C-4BFF-BEFD-811924968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DBTH NHS 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Orr</dc:creator>
  <cp:lastModifiedBy>Hall, Carol</cp:lastModifiedBy>
  <cp:revision>2</cp:revision>
  <dcterms:created xsi:type="dcterms:W3CDTF">2025-04-17T14:19:00Z</dcterms:created>
  <dcterms:modified xsi:type="dcterms:W3CDTF">2025-04-17T14:19:00Z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0x010100C42961315CC787478ABAB13C72FD1B86</vt:lpwstr>
  </property>
</Properties>
</file>